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郑州市自然资源和规划局关于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市政协十五届二次会议提案线索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开展郑州市主城区慢行交通评估及体系研究：践行“人民城市”理念，贯彻落实市政府工作报告“构建绿色出行体系，推进城市步道和自行车道合理改造与建设”要求，谋划解决城市机动化的快速发展带来的慢行路权被侵占、非机动车道“断点”多、行人过街不便、重点区域慢行混乱等问题。</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2.组织实施好年度城市国土空间监测工作，将城市国土空间监测数据纳入一张图系统，探索城市国土空间监测数据应用。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default" w:ascii="方正仿宋_GBK" w:hAnsi="方正仿宋_GBK" w:eastAsia="方正仿宋_GBK" w:cs="方正仿宋_GBK"/>
          <w:sz w:val="32"/>
          <w:szCs w:val="32"/>
          <w:lang w:val="en-US" w:eastAsia="zh-CN"/>
        </w:rPr>
        <w:t>、鼓励社会资本进入历史遗留矿山治理，促进偏远山区低效工矿用地重新焕发生机，为工业企业选址提供新方向新思路。</w:t>
      </w:r>
      <w:r>
        <w:rPr>
          <w:rFonts w:hint="default" w:ascii="方正仿宋_GBK" w:hAnsi="方正仿宋_GBK" w:eastAsia="方正仿宋_GBK" w:cs="方正仿宋_GBK"/>
          <w:sz w:val="32"/>
          <w:szCs w:val="32"/>
          <w:lang w:val="en-US" w:eastAsia="zh-CN"/>
        </w:rPr>
        <w:br w:type="textWrapping"/>
      </w:r>
      <w:r>
        <w:rPr>
          <w:rFonts w:hint="eastAsia" w:ascii="方正仿宋_GBK" w:hAnsi="方正仿宋_GBK" w:eastAsia="方正仿宋_GBK" w:cs="方正仿宋_GBK"/>
          <w:sz w:val="32"/>
          <w:szCs w:val="32"/>
          <w:lang w:val="en-US" w:eastAsia="zh-CN"/>
        </w:rPr>
        <w:t>4</w:t>
      </w:r>
      <w:r>
        <w:rPr>
          <w:rFonts w:hint="default" w:ascii="方正仿宋_GBK" w:hAnsi="方正仿宋_GBK" w:eastAsia="方正仿宋_GBK" w:cs="方正仿宋_GBK"/>
          <w:sz w:val="32"/>
          <w:szCs w:val="32"/>
          <w:lang w:val="en-US" w:eastAsia="zh-CN"/>
        </w:rPr>
        <w:t>、在鼓励耕地下山，林地上山时期，利用历史遗留矿山，缓解林地、耕地转换时期的矛盾。平原林地利用山区工矿用地补足林地面积，腾退出平原林地实现复耕，逐步实现耕地下山，林地上山，历史遗留矿山恢复为林地和耕地，改善周边生态环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结合我市地下空间开发利用管理实践经验基础，研究优化我市地下空间开发利用管理政策。进一步鼓励地下分层开发利用，坚持公共利益优先、保障公共安全的原则，深入研究地下交通、综合管廊、公共停车场等城市基础设施的综合建设、高效利用。</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6、探索有序推进郑州市自然资源统一确权登记。</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加快实景三维郑州建设，加速郑州新型基础测绘体系建设：实景三维是对一定范围内的人类生产、生活和生态空间进行真实、立体、时序化反映和表达的数字空间，是新型基础测绘的标准化产品，是国家重要的新型基础设施，是新型基础测绘体系下重要的常态化基础测绘工作之一，为经济社会发展和各部门特别是自然资源部门信息化提供统一的空间基底。</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国土空间规划管理体系有待完善。探索国土空间规划体系重构是落实“五级三类”国土空间规划体系的重要探索，有利于推动超大特大城市加快转变发展方式，提高城市空间治理效能，重塑我市面向实施的规划管理机制，激发释放基层管理积极性和主动性，推进基层治理体系和治理能力现代化。</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全面落实永久基本农田特殊保护，以守住永久基本农田控制线为目标，巩固永久基本农田划定成果，建立“分工合作、齐抓共管”的联动机制，基本形成“保护有力、管理有序”的永久基本农田特殊保护格局。一是建立“发现预警机制”，通过日常国土变更调查和各级田长、网格长对违法违规占用耕地“非粮化”问题进行动态监测，实现问题“早推送、早预警”。二是建立“立行立改机制”，建立整改台账，实现问题“早整改、早销号”，逐步将运动式复耕整改转变为按月滚动式日常处置。三是强化永久基本农田保护考核机制，落实区县（市）政府保护耕地的主体责任，将永久基本农田保护情况作为政府耕地保护责任目标考核、粮食安全省长责任制考核、领导干部自然资源资产离任审计的重要内容。</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仿宋_GBK" w:hAnsi="方正仿宋_GBK" w:eastAsia="方正仿宋_GBK" w:cs="方正仿宋_GBK"/>
          <w:sz w:val="32"/>
          <w:szCs w:val="32"/>
          <w:lang w:val="en-US" w:eastAsia="zh-CN"/>
        </w:rPr>
      </w:pPr>
    </w:p>
    <w:p>
      <w:pPr>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A00002BF" w:usb1="184F6CFA" w:usb2="00000012" w:usb3="00000000" w:csb0="00040001" w:csb1="00000000"/>
  </w:font>
  <w:font w:name="方正仿宋_GBK">
    <w:altName w:val="微软雅黑"/>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3F585C"/>
    <w:rsid w:val="71A07445"/>
    <w:rsid w:val="7AF7263C"/>
    <w:rsid w:val="B1D38093"/>
    <w:rsid w:val="EF3F585C"/>
    <w:rsid w:val="FFAFFC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2023-11-28T07:14:00Z</dcterms:created>
  <dc:creator>gtj</dc:creator>
  <cp:lastModifiedBy>wangjingzhe</cp:lastModifiedBy>
  <dcterms:modified xsi:type="dcterms:W3CDTF">2023-12-08T04:30:47Z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2881C077DB85F6D13F59646525747EF8</vt:lpwstr>
  </property>
</Properties>
</file>