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提案线索一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关于进一步深化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市场监管综合行政执法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队伍改革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的提案线索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2018年以来，</w:t>
      </w:r>
      <w:r>
        <w:rPr>
          <w:rFonts w:hint="default" w:ascii="仿宋_GB2312" w:hAnsi="仿宋_GB2312" w:eastAsia="仿宋_GB2312" w:cs="仿宋_GB2312"/>
          <w:sz w:val="32"/>
          <w:szCs w:val="32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市场监管综合行政执法队伍改革取得显著成效，但是在管理体制、队伍建设、监管方式、执法手段等方面仍存在较多问题。主要表现在：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一是综合行政执法管理体制不完善。综合行政执法</w:t>
      </w:r>
      <w:r>
        <w:rPr>
          <w:rFonts w:hint="default" w:ascii="仿宋_GB2312" w:hAnsi="仿宋_GB2312" w:eastAsia="仿宋_GB2312" w:cs="仿宋_GB2312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队与主管部门内设科室及</w:t>
      </w:r>
      <w:r>
        <w:rPr>
          <w:rFonts w:hint="default" w:ascii="仿宋_GB2312" w:hAnsi="仿宋_GB2312" w:eastAsia="仿宋_GB2312" w:cs="仿宋_GB2312"/>
          <w:sz w:val="32"/>
          <w:szCs w:val="32"/>
        </w:rPr>
        <w:t>各县市区局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的职责权限划分不明，综合行政执法与日常监管界限模糊，综合行政执法功能一定程度上被弱化</w:t>
      </w:r>
      <w:r>
        <w:rPr>
          <w:rFonts w:hint="default" w:ascii="仿宋_GB2312" w:hAnsi="仿宋_GB2312" w:eastAsia="仿宋_GB2312" w:cs="仿宋_GB2312"/>
          <w:sz w:val="32"/>
          <w:szCs w:val="32"/>
        </w:rPr>
        <w:t>。特别是随着经济社会发展，市场监管领域综合性案件、跨区域案件、侵犯知识产权案件等大要案呈现上升趋势，市级执法办案力量出现不足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二是综合行政执法</w:t>
      </w:r>
      <w:r>
        <w:rPr>
          <w:rFonts w:hint="default" w:ascii="仿宋_GB2312" w:hAnsi="仿宋_GB2312" w:eastAsia="仿宋_GB2312" w:cs="仿宋_GB2312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队属性不明。市场监管部门在机构改革时将原</w:t>
      </w:r>
      <w:r>
        <w:rPr>
          <w:rFonts w:hint="default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个部门的监管职能进行整合，</w:t>
      </w:r>
      <w:r>
        <w:rPr>
          <w:rFonts w:hint="default" w:ascii="仿宋_GB2312" w:hAnsi="仿宋_GB2312" w:eastAsia="仿宋_GB2312" w:cs="仿宋_GB2312"/>
          <w:sz w:val="32"/>
          <w:szCs w:val="32"/>
        </w:rPr>
        <w:t>又新增了商务、知识产权等部分执法职能，支队人员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出现了</w:t>
      </w:r>
      <w:r>
        <w:rPr>
          <w:rFonts w:hint="default" w:ascii="仿宋_GB2312" w:hAnsi="仿宋_GB2312" w:eastAsia="仿宋_GB2312" w:cs="仿宋_GB2312"/>
          <w:sz w:val="32"/>
          <w:szCs w:val="32"/>
        </w:rPr>
        <w:t>公务员、市小参公、事业等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</w:rPr>
        <w:t>种人员身份，造成人员混编现象严重。待遇不一、同工不同酬等问题，对队伍的稳定性和工作积极性造成影响。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三是综合行政执法队伍建设待加强。执法人员数量不足，地方借用抽调现象普遍，执法力量薄弱问题突出。食药、特种设备、网络与信息化、知识产权等</w:t>
      </w:r>
      <w:r>
        <w:rPr>
          <w:rFonts w:hint="default" w:ascii="仿宋_GB2312" w:hAnsi="仿宋_GB2312" w:eastAsia="仿宋_GB2312" w:cs="仿宋_GB2312"/>
          <w:sz w:val="32"/>
          <w:szCs w:val="32"/>
        </w:rPr>
        <w:t>执法需要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专业人才，专业性培训少，常态化、制度化培训机制尚未建立。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监管和执法手段较为落后。监管执法仍以现场检查和行政处罚等传统方式为主，“互联网+监管”推进滞后，大数据、云计算、人工智能等科技手段运用不足。执法车辆短缺、执法装备老化、数量不足等问题制约执法工作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为此，建议：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一是完善综合行政执法管理体制。二是落实保障激励措施。三是打造职业化综合行政执法队伍。四是科技赋能监管执法。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提案线索二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关于申建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知识产权保护中心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的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提案线索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一、背景资料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知识产权局2016年启动地方知识产权保护中心建设，重点围绕新一代信息技术、高端装备制造和生物医药等几十个领域产业，开展专利快速审查、快速确权、快速维权等工作，旨在为创新主体、市场主体提供审查确权“一站式”知识产权综合服务，为培育壮大重点产业、激发创新活力、改善营商环境、促进经济高质量发展提供重要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二、全国建设基本情况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2022年底，全国已批复成立62家知识产权保护中心，基本实现全国省会城市和制造业强市全覆盖，郑州和重庆之外的其他七个国家中心城市、郑州之外的五个中部省会城市都已成立知识产权保护中心，我省新乡知识产权保护中心、洛阳知识产权保护中心也已获批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建设保护中心专利审查绿色通道，预计发明专利授权周期将由平均20.3个月缩短至3个月以内、最快可20多天授权，实用新型专利授权周期将由平均6.4个月缩短至1个月以内、外观设计专利授权周期将由平均3.2个月缩短至10个工作日以内，确保技术创新快速转化为专利、迅速形成产业技术创新优势。当前我市企业对申建保护中心呼声很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一是编制问题。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当前我市知识产权维权保护中心由原市知识产权局更名而来，在人员编制明显多于其他可借鉴城市的保护中心人数，增加编制存在一定困难。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二是专业要求问题。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保护中心相关专利审查人员要求理工科硕士研究生学历以上学历，由于市知识产权维权保护人员由原知识产权局工作人员更名而来，在学历及专业要求上无法满足保护中心专利审查人员素质要求。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四、意见建议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1.资金需求。2.场地建设。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队伍建设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2945"/>
    <w:rsid w:val="23FF803F"/>
    <w:rsid w:val="2F78791A"/>
    <w:rsid w:val="3EAB0813"/>
    <w:rsid w:val="6A3B4041"/>
    <w:rsid w:val="77E737AA"/>
    <w:rsid w:val="79D7963E"/>
    <w:rsid w:val="99AB3397"/>
    <w:rsid w:val="AF5B9480"/>
    <w:rsid w:val="D5762A0C"/>
    <w:rsid w:val="D7FF440C"/>
    <w:rsid w:val="F9FF40BE"/>
    <w:rsid w:val="FBFF24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wangjingzhe</cp:lastModifiedBy>
  <cp:lastPrinted>2023-11-24T03:09:17Z</cp:lastPrinted>
  <dcterms:modified xsi:type="dcterms:W3CDTF">2023-12-08T04:29:16Z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2B98EBE3D03D2DA54BD45A65E1383CC9</vt:lpwstr>
  </property>
</Properties>
</file>